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珠山区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文广新旅局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2019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年政府信息公开年度报告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本报告根据《中华人民共和国政府信息公开条例》（以下简称《条例》）以及景德镇市201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度的政府信息公开年度报告提纲编制。全文由概述，主动公开政府信息的情况，依申请公开政府信息的情况，收费及减免情况，复议、诉讼和申诉情况，主要问题和改进措施，附表，等八个部分组成。本报告中所列数据的统计期限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年1月1日起至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年12月31日止。本报告的电子版可在珠山区政府门户网站（www.jdzzsq.gov.cn）下载。如对报告有任何疑问，请与珠山区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文广新旅局办公室</w:t>
      </w:r>
      <w:r>
        <w:rPr>
          <w:rFonts w:hint="eastAsia" w:ascii="仿宋" w:hAnsi="仿宋" w:eastAsia="仿宋" w:cs="仿宋"/>
          <w:sz w:val="32"/>
          <w:szCs w:val="32"/>
        </w:rPr>
        <w:t>联系（地址：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瓷都大道1335号</w:t>
      </w:r>
      <w:r>
        <w:rPr>
          <w:rFonts w:hint="eastAsia" w:ascii="仿宋" w:hAnsi="仿宋" w:eastAsia="仿宋" w:cs="仿宋"/>
          <w:sz w:val="32"/>
          <w:szCs w:val="32"/>
        </w:rPr>
        <w:t>，邮编：333000，电话：0798-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8503058</w:t>
      </w:r>
      <w:r>
        <w:rPr>
          <w:rFonts w:hint="eastAsia" w:ascii="仿宋" w:hAnsi="仿宋" w:eastAsia="仿宋" w:cs="仿宋"/>
          <w:sz w:val="32"/>
          <w:szCs w:val="32"/>
        </w:rPr>
        <w:t xml:space="preserve">。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一、概 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信息公开是提高政府工作透明度的重要举措，是政府施政的一项基本制度。推进政府信息公开工作是珠山区贯彻实施《中华人民共和国政府信息公开条例》的重要举措，是珠山区政府建设“服务政府、责任政府、法治政府”的一项重要工作。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年我区认真贯彻《中华人民共和国政府信息公开条例》，切实加大政务公开工作力度，不断拓展内容，丰富形式，加强监督，在完善政府信息公开制度和规范、深化政府信息公开内容、规范政府信息公开申请处理流程、拓展政府信息公开形式等方面取得了新的进展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年主要开展了以下几个方面的工作：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 加强领导，完善机构。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为进一步加强对信息公开工作的领导，及时对区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文广新旅局政府</w:t>
      </w:r>
      <w:r>
        <w:rPr>
          <w:rFonts w:hint="eastAsia" w:ascii="仿宋" w:hAnsi="仿宋" w:eastAsia="仿宋" w:cs="仿宋"/>
          <w:sz w:val="32"/>
          <w:szCs w:val="32"/>
        </w:rPr>
        <w:t>信息公开平台领导小组进行了调整充实，由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党组书记、局长杜辉</w:t>
      </w:r>
      <w:r>
        <w:rPr>
          <w:rFonts w:hint="eastAsia" w:ascii="仿宋" w:hAnsi="仿宋" w:eastAsia="仿宋" w:cs="仿宋"/>
          <w:sz w:val="32"/>
          <w:szCs w:val="32"/>
        </w:rPr>
        <w:t>任组长，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班子成员</w:t>
      </w:r>
      <w:r>
        <w:rPr>
          <w:rFonts w:hint="eastAsia" w:ascii="仿宋" w:hAnsi="仿宋" w:eastAsia="仿宋" w:cs="仿宋"/>
          <w:sz w:val="32"/>
          <w:szCs w:val="32"/>
        </w:rPr>
        <w:t>为成员的区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文广新旅局政府</w:t>
      </w:r>
      <w:r>
        <w:rPr>
          <w:rFonts w:hint="eastAsia" w:ascii="仿宋" w:hAnsi="仿宋" w:eastAsia="仿宋" w:cs="仿宋"/>
          <w:sz w:val="32"/>
          <w:szCs w:val="32"/>
        </w:rPr>
        <w:t>信息公开平台工作领导小组，落实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办公室</w:t>
      </w:r>
      <w:r>
        <w:rPr>
          <w:rFonts w:hint="eastAsia" w:ascii="仿宋" w:hAnsi="仿宋" w:eastAsia="仿宋" w:cs="仿宋"/>
          <w:sz w:val="32"/>
          <w:szCs w:val="32"/>
        </w:rPr>
        <w:t>工作人员具体负责信息公开的日常工作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（二）精心组织，确保政府信息公开工作稳步推进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结合工作实际，从职能范围和工作特点出发，对公开的内容进行认真梳理分析，采取主动公开的形式，按照机构信息、公文法规、服务事项等项目向社会公布。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二、主动公开政府信息的情况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（一）主动公开政府信息的数量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区文广新旅局</w:t>
      </w:r>
      <w:r>
        <w:rPr>
          <w:rFonts w:hint="eastAsia" w:ascii="仿宋" w:hAnsi="仿宋" w:eastAsia="仿宋" w:cs="仿宋"/>
          <w:sz w:val="32"/>
          <w:szCs w:val="32"/>
        </w:rPr>
        <w:t>对政府信息进行了梳理和编目，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年主动公开政府信息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111</w:t>
      </w:r>
      <w:r>
        <w:rPr>
          <w:rFonts w:hint="eastAsia" w:ascii="仿宋" w:hAnsi="仿宋" w:eastAsia="仿宋" w:cs="仿宋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（二）信息公开的形式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1．互联网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2．公共查阅点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3．新闻媒体发布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三、依申请公开政府信息的情况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规范了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区文广新旅局</w:t>
      </w:r>
      <w:r>
        <w:rPr>
          <w:rFonts w:hint="eastAsia" w:ascii="仿宋" w:hAnsi="仿宋" w:eastAsia="仿宋" w:cs="仿宋"/>
          <w:sz w:val="32"/>
          <w:szCs w:val="32"/>
        </w:rPr>
        <w:t>政府信息公开申请处理流程，在《指南》中规范了区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文广新旅局</w:t>
      </w:r>
      <w:r>
        <w:rPr>
          <w:rFonts w:hint="eastAsia" w:ascii="仿宋" w:hAnsi="仿宋" w:eastAsia="仿宋" w:cs="仿宋"/>
          <w:sz w:val="32"/>
          <w:szCs w:val="32"/>
        </w:rPr>
        <w:t>信息公开申请集中受理工作，方便公众通过珠山区政府信息公开平台窗口申请政府信息。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年度，受理并妥善处理依申请公开信息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区文广新旅局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政府信息公开的收费及减免情况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区文广新旅局</w:t>
      </w:r>
      <w:r>
        <w:rPr>
          <w:rFonts w:hint="eastAsia" w:ascii="仿宋" w:hAnsi="仿宋" w:eastAsia="仿宋" w:cs="仿宋"/>
          <w:sz w:val="32"/>
          <w:szCs w:val="32"/>
        </w:rPr>
        <w:t>信息查阅点全部免费为群众提供信息查阅服务，不存在收费现象。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区文广新旅局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政府信息公开申请行政复议、提起诉讼的情况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年度，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区文广新旅局</w:t>
      </w:r>
      <w:r>
        <w:rPr>
          <w:rFonts w:hint="eastAsia" w:ascii="仿宋" w:hAnsi="仿宋" w:eastAsia="仿宋" w:cs="仿宋"/>
          <w:sz w:val="32"/>
          <w:szCs w:val="32"/>
        </w:rPr>
        <w:t>未发生因政府信息公开申请行政复议、提起诉讼的情况。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</w:pP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</w:pPr>
      <w:r>
        <w:rPr>
          <w:rFonts w:hint="eastAsia"/>
          <w:bCs/>
          <w:color w:val="333333"/>
          <w:shd w:val="clear" w:color="auto" w:fill="FFFFFF"/>
          <w:lang w:eastAsia="zh-CN"/>
        </w:rPr>
        <w:t>六</w:t>
      </w:r>
      <w:r>
        <w:rPr>
          <w:rFonts w:hint="eastAsia"/>
          <w:bCs/>
          <w:color w:val="333333"/>
          <w:shd w:val="clear" w:color="auto" w:fill="FFFFFF"/>
        </w:rPr>
        <w:t>、</w:t>
      </w:r>
      <w:r>
        <w:rPr>
          <w:rFonts w:hint="eastAsia" w:ascii="方正黑体简体" w:hAnsi="方正黑体简体" w:eastAsia="方正黑体简体" w:cs="方正黑体简体"/>
          <w:bCs/>
          <w:color w:val="333333"/>
          <w:shd w:val="clear" w:color="auto" w:fill="FFFFFF"/>
        </w:rPr>
        <w:t>主动公开政府信息情况</w:t>
      </w:r>
    </w:p>
    <w:tbl>
      <w:tblPr>
        <w:tblStyle w:val="5"/>
        <w:tblW w:w="8140" w:type="dxa"/>
        <w:jc w:val="center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color w:val="333333"/>
        </w:rPr>
      </w:pP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b/>
          <w:color w:val="333333"/>
          <w:shd w:val="clear" w:color="auto" w:fill="FFFFFF"/>
        </w:rPr>
      </w:pP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rFonts w:ascii="方正黑体简体" w:hAnsi="方正黑体简体" w:eastAsia="方正黑体简体" w:cs="方正黑体简体"/>
          <w:color w:val="333333"/>
        </w:rPr>
      </w:pPr>
      <w:r>
        <w:rPr>
          <w:rFonts w:hint="eastAsia"/>
          <w:bCs/>
          <w:color w:val="333333"/>
          <w:shd w:val="clear" w:color="auto" w:fill="FFFFFF"/>
          <w:lang w:eastAsia="zh-CN"/>
        </w:rPr>
        <w:t>七</w:t>
      </w:r>
      <w:r>
        <w:rPr>
          <w:rFonts w:hint="eastAsia"/>
          <w:bCs/>
          <w:color w:val="333333"/>
          <w:shd w:val="clear" w:color="auto" w:fill="FFFFFF"/>
        </w:rPr>
        <w:t>、</w:t>
      </w:r>
      <w:r>
        <w:rPr>
          <w:rFonts w:hint="eastAsia" w:ascii="方正黑体简体" w:hAnsi="方正黑体简体" w:eastAsia="方正黑体简体" w:cs="方正黑体简体"/>
          <w:bCs/>
          <w:color w:val="333333"/>
          <w:shd w:val="clear" w:color="auto" w:fill="FFFFFF"/>
        </w:rPr>
        <w:t>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855"/>
        <w:gridCol w:w="2089"/>
        <w:gridCol w:w="814"/>
        <w:gridCol w:w="756"/>
        <w:gridCol w:w="756"/>
        <w:gridCol w:w="815"/>
        <w:gridCol w:w="976"/>
        <w:gridCol w:w="713"/>
        <w:gridCol w:w="67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6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0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6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1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7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6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6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6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color w:val="333333"/>
        </w:rPr>
      </w:pP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rFonts w:ascii="方正黑体简体" w:hAnsi="方正黑体简体" w:eastAsia="方正黑体简体" w:cs="方正黑体简体"/>
          <w:bCs/>
          <w:color w:val="333333"/>
        </w:rPr>
      </w:pPr>
      <w:r>
        <w:rPr>
          <w:rFonts w:hint="eastAsia" w:eastAsia="方正黑体简体"/>
          <w:bCs/>
          <w:color w:val="333333"/>
          <w:shd w:val="clear" w:color="auto" w:fill="FFFFFF"/>
          <w:lang w:eastAsia="zh-CN"/>
        </w:rPr>
        <w:t>八</w:t>
      </w:r>
      <w:r>
        <w:rPr>
          <w:rFonts w:hint="eastAsia" w:ascii="方正黑体简体" w:hAnsi="方正黑体简体" w:eastAsia="方正黑体简体" w:cs="方正黑体简体"/>
          <w:bCs/>
          <w:color w:val="333333"/>
          <w:shd w:val="clear" w:color="auto" w:fill="FFFFFF"/>
        </w:rPr>
        <w:t>、政府信息公开行政复议、行政诉讼情况</w:t>
      </w: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color w:val="333333"/>
        </w:rPr>
      </w:pP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、政府信息公开工作存在的主要问题和改进措施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年，在深化政府信息公开内容、完善政府信息公开配套制度，加强政府信息公开基础性工作等方面取得了一定成绩，但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区文广新旅局</w:t>
      </w:r>
      <w:r>
        <w:rPr>
          <w:rFonts w:hint="eastAsia" w:ascii="仿宋" w:hAnsi="仿宋" w:eastAsia="仿宋" w:cs="仿宋"/>
          <w:sz w:val="32"/>
          <w:szCs w:val="32"/>
        </w:rPr>
        <w:t>主动公开政府信息内容与群众的需求还存在一定差距。今年，我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将继续大力推进全区政府信息公开工作，主要做好以下几方面的工作：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（一）继续扩大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区文广新旅局</w:t>
      </w:r>
      <w:r>
        <w:rPr>
          <w:rFonts w:hint="eastAsia" w:ascii="仿宋" w:hAnsi="仿宋" w:eastAsia="仿宋" w:cs="仿宋"/>
          <w:sz w:val="32"/>
          <w:szCs w:val="32"/>
        </w:rPr>
        <w:t>政府信息公开面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继续重点推进与社会发展和市民生活密切相关的政府信息公开，进一步及时、规范做好公文类政府信息公开工作；进一步推动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区文广新旅局</w:t>
      </w:r>
      <w:r>
        <w:rPr>
          <w:rFonts w:hint="eastAsia" w:ascii="仿宋" w:hAnsi="仿宋" w:eastAsia="仿宋" w:cs="仿宋"/>
          <w:sz w:val="32"/>
          <w:szCs w:val="32"/>
        </w:rPr>
        <w:t>政府信息公开与网上办事和电子政务工作的结合。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（二）建立长效工作机制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继续加强政府信息公开申请的处理、依申请公开的政府信息目录编制、免予公开的政府信息类目备案、重大决定草案公开情况备案等工作；继续完善政府信息公开的监督、评议制度。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（三）加强政府信息公开基础性工作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宣传，提高公众对政府信息公开的知情权和参与度；加强政府信息公开制度建设，不断提升政府信息公开整体工作水平；加强政府信息公开的载体建设，实现政府信息公开查询的多样性；加强政府信息公开各项保障措施，丰富政府信息公开监督、检查、考核手段，进一步促进信息公开工作。</w:t>
      </w:r>
    </w:p>
    <w:p>
      <w:pPr>
        <w:pStyle w:val="2"/>
      </w:pPr>
    </w:p>
    <w:p/>
    <w:p>
      <w:pPr>
        <w:pStyle w:val="2"/>
      </w:pPr>
    </w:p>
    <w:p/>
    <w:p/>
    <w:p>
      <w:pPr>
        <w:pStyle w:val="2"/>
      </w:pPr>
    </w:p>
    <w:p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珠山区文广新旅局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2020年1月13日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B2026"/>
    <w:rsid w:val="181837F8"/>
    <w:rsid w:val="299412B4"/>
    <w:rsid w:val="2B483820"/>
    <w:rsid w:val="40ED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2020-01-13T07:17:24Z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