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center"/>
        <w:textAlignment w:val="auto"/>
        <w:outlineLvl w:val="9"/>
        <w:rPr>
          <w:rFonts w:hint="eastAsia" w:ascii="仿宋_GB2312" w:hAnsi="仿宋_GB2312" w:eastAsia="仿宋_GB2312" w:cs="仿宋_GB2312"/>
          <w:color w:val="333333"/>
          <w:kern w:val="0"/>
          <w:sz w:val="44"/>
          <w:szCs w:val="44"/>
          <w:u w:val="none"/>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center"/>
        <w:textAlignment w:val="auto"/>
        <w:outlineLvl w:val="9"/>
        <w:rPr>
          <w:rStyle w:val="10"/>
          <w:rFonts w:hint="eastAsia" w:ascii="黑体" w:hAnsi="黑体" w:eastAsia="黑体" w:cs="黑体"/>
          <w:color w:val="333333"/>
          <w:sz w:val="44"/>
          <w:szCs w:val="44"/>
          <w:u w:val="none"/>
        </w:rPr>
      </w:pPr>
      <w:r>
        <w:rPr>
          <w:rStyle w:val="10"/>
          <w:rFonts w:hint="eastAsia" w:ascii="黑体" w:hAnsi="黑体" w:eastAsia="黑体" w:cs="黑体"/>
          <w:color w:val="333333"/>
          <w:sz w:val="44"/>
          <w:szCs w:val="44"/>
          <w:u w:val="none"/>
          <w:lang w:val="en-US" w:eastAsia="zh-CN"/>
        </w:rPr>
        <w:fldChar w:fldCharType="begin"/>
      </w:r>
      <w:r>
        <w:rPr>
          <w:rStyle w:val="10"/>
          <w:rFonts w:hint="eastAsia" w:ascii="黑体" w:hAnsi="黑体" w:eastAsia="黑体" w:cs="黑体"/>
          <w:color w:val="333333"/>
          <w:sz w:val="44"/>
          <w:szCs w:val="44"/>
          <w:u w:val="none"/>
          <w:lang w:val="en-US" w:eastAsia="zh-CN"/>
        </w:rPr>
        <w:instrText xml:space="preserve"> HYPERLINK "http://10.129.38.50:8080/jdzmh/NewInformation/NoFlowInformation/javascript:void(0);" </w:instrText>
      </w:r>
      <w:r>
        <w:rPr>
          <w:rStyle w:val="10"/>
          <w:rFonts w:hint="eastAsia" w:ascii="黑体" w:hAnsi="黑体" w:eastAsia="黑体" w:cs="黑体"/>
          <w:color w:val="333333"/>
          <w:sz w:val="44"/>
          <w:szCs w:val="44"/>
          <w:u w:val="none"/>
          <w:lang w:val="en-US" w:eastAsia="zh-CN"/>
        </w:rPr>
        <w:fldChar w:fldCharType="separate"/>
      </w:r>
      <w:r>
        <w:rPr>
          <w:rStyle w:val="10"/>
          <w:rFonts w:hint="eastAsia" w:ascii="黑体" w:hAnsi="黑体" w:eastAsia="黑体" w:cs="黑体"/>
          <w:color w:val="333333"/>
          <w:sz w:val="44"/>
          <w:szCs w:val="44"/>
          <w:u w:val="none"/>
        </w:rPr>
        <w:t>珠山区</w:t>
      </w:r>
      <w:r>
        <w:rPr>
          <w:rStyle w:val="10"/>
          <w:rFonts w:hint="eastAsia" w:ascii="黑体" w:hAnsi="黑体" w:eastAsia="黑体" w:cs="黑体"/>
          <w:color w:val="333333"/>
          <w:sz w:val="44"/>
          <w:szCs w:val="44"/>
          <w:u w:val="none"/>
          <w:lang w:eastAsia="zh-CN"/>
        </w:rPr>
        <w:t>商务</w:t>
      </w:r>
      <w:r>
        <w:rPr>
          <w:rStyle w:val="10"/>
          <w:rFonts w:hint="eastAsia" w:ascii="黑体" w:hAnsi="黑体" w:eastAsia="黑体" w:cs="黑体"/>
          <w:color w:val="333333"/>
          <w:sz w:val="44"/>
          <w:szCs w:val="44"/>
          <w:u w:val="none"/>
        </w:rPr>
        <w:t>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center"/>
        <w:textAlignment w:val="auto"/>
        <w:outlineLvl w:val="9"/>
        <w:rPr>
          <w:rStyle w:val="10"/>
          <w:rFonts w:hint="eastAsia" w:ascii="黑体" w:hAnsi="黑体" w:eastAsia="黑体" w:cs="黑体"/>
          <w:color w:val="333333"/>
          <w:sz w:val="44"/>
          <w:szCs w:val="44"/>
          <w:u w:val="none"/>
        </w:rPr>
      </w:pPr>
      <w:bookmarkStart w:id="0" w:name="_GoBack"/>
      <w:r>
        <w:rPr>
          <w:rStyle w:val="10"/>
          <w:rFonts w:hint="eastAsia" w:ascii="黑体" w:hAnsi="黑体" w:eastAsia="黑体" w:cs="黑体"/>
          <w:color w:val="333333"/>
          <w:sz w:val="44"/>
          <w:szCs w:val="44"/>
          <w:u w:val="none"/>
        </w:rPr>
        <w:t>201</w:t>
      </w:r>
      <w:r>
        <w:rPr>
          <w:rStyle w:val="10"/>
          <w:rFonts w:hint="eastAsia" w:ascii="黑体" w:hAnsi="黑体" w:eastAsia="黑体" w:cs="黑体"/>
          <w:color w:val="333333"/>
          <w:sz w:val="44"/>
          <w:szCs w:val="44"/>
          <w:u w:val="none"/>
          <w:lang w:val="en-US" w:eastAsia="zh-CN"/>
        </w:rPr>
        <w:t>6</w:t>
      </w:r>
      <w:r>
        <w:rPr>
          <w:rStyle w:val="10"/>
          <w:rFonts w:hint="eastAsia" w:ascii="黑体" w:hAnsi="黑体" w:eastAsia="黑体" w:cs="黑体"/>
          <w:color w:val="333333"/>
          <w:sz w:val="44"/>
          <w:szCs w:val="44"/>
          <w:u w:val="none"/>
        </w:rPr>
        <w:t>年政府信息公开工作年度报告</w:t>
      </w:r>
      <w:bookmarkEnd w:id="0"/>
      <w:r>
        <w:rPr>
          <w:rStyle w:val="10"/>
          <w:rFonts w:hint="eastAsia" w:ascii="黑体" w:hAnsi="黑体" w:eastAsia="黑体" w:cs="黑体"/>
          <w:color w:val="333333"/>
          <w:sz w:val="44"/>
          <w:szCs w:val="44"/>
          <w:u w:val="none"/>
        </w:rPr>
        <w:t xml:space="preserve"> </w:t>
      </w:r>
      <w:r>
        <w:rPr>
          <w:rStyle w:val="10"/>
          <w:rFonts w:hint="eastAsia" w:ascii="黑体" w:hAnsi="黑体" w:eastAsia="黑体" w:cs="黑体"/>
          <w:color w:val="333333"/>
          <w:sz w:val="44"/>
          <w:szCs w:val="44"/>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center"/>
        <w:textAlignment w:val="auto"/>
        <w:outlineLvl w:val="9"/>
        <w:rPr>
          <w:rStyle w:val="10"/>
          <w:rFonts w:hint="eastAsia" w:ascii="仿宋_GB2312" w:hAnsi="仿宋_GB2312" w:eastAsia="仿宋_GB2312" w:cs="仿宋_GB2312"/>
          <w:color w:val="333333"/>
          <w:sz w:val="44"/>
          <w:szCs w:val="44"/>
          <w:u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根据《中华人民共和国政府信息公开条例》（以下简称《条例》)和《景德镇市关于进一步推进政务公开工作规定》及《景德镇市政务公开工作督查制度》的有关规定，特向社会公布2016年景德镇市珠山区商务局政府信息公开工作情况报告。本报告由概述、主动公开政府信息情况、依申请公开政府信息情况、政府信息公开收费及减免情况、因政府信息公开申请行政复议与提起行政诉讼的情况、政府信息公开工作存在的主要问题及改进情况以及其他需要报告的事项等七个部分组成。本报告中所列数据的统计期限自2016年1月1日起至12月31日止。本报告的电子版可在政府信息公开网站（</w:t>
      </w:r>
      <w:r>
        <w:rPr>
          <w:rStyle w:val="10"/>
          <w:rFonts w:hint="eastAsia" w:ascii="仿宋_GB2312" w:hAnsi="仿宋_GB2312" w:eastAsia="仿宋_GB2312" w:cs="仿宋_GB2312"/>
          <w:color w:val="333333"/>
          <w:sz w:val="32"/>
          <w:szCs w:val="32"/>
          <w:u w:val="none"/>
          <w:lang w:val="en-US" w:eastAsia="zh-CN"/>
        </w:rPr>
        <w:fldChar w:fldCharType="begin"/>
      </w:r>
      <w:r>
        <w:rPr>
          <w:rStyle w:val="10"/>
          <w:rFonts w:hint="eastAsia" w:ascii="仿宋_GB2312" w:hAnsi="仿宋_GB2312" w:eastAsia="仿宋_GB2312" w:cs="仿宋_GB2312"/>
          <w:color w:val="333333"/>
          <w:sz w:val="32"/>
          <w:szCs w:val="32"/>
          <w:u w:val="none"/>
          <w:lang w:val="en-US" w:eastAsia="zh-CN"/>
        </w:rPr>
        <w:instrText xml:space="preserve"> HYPERLINK "http://xxgk.jdz.gov.cn/bmgkxx/sjmw/gknb/" </w:instrText>
      </w:r>
      <w:r>
        <w:rPr>
          <w:rStyle w:val="10"/>
          <w:rFonts w:hint="eastAsia" w:ascii="仿宋_GB2312" w:hAnsi="仿宋_GB2312" w:eastAsia="仿宋_GB2312" w:cs="仿宋_GB2312"/>
          <w:color w:val="333333"/>
          <w:sz w:val="32"/>
          <w:szCs w:val="32"/>
          <w:u w:val="none"/>
          <w:lang w:val="en-US" w:eastAsia="zh-CN"/>
        </w:rPr>
        <w:fldChar w:fldCharType="separate"/>
      </w:r>
      <w:r>
        <w:rPr>
          <w:rStyle w:val="10"/>
          <w:rFonts w:hint="eastAsia" w:ascii="仿宋_GB2312" w:hAnsi="仿宋_GB2312" w:eastAsia="仿宋_GB2312" w:cs="仿宋_GB2312"/>
          <w:color w:val="333333"/>
          <w:sz w:val="32"/>
          <w:szCs w:val="32"/>
          <w:u w:val="none"/>
          <w:lang w:val="en-US"/>
        </w:rPr>
        <w:t>http://xxgk.jdz.gov.cn/bmgkxx/sjmw/gknb/</w:t>
      </w:r>
      <w:r>
        <w:rPr>
          <w:rStyle w:val="10"/>
          <w:rFonts w:hint="eastAsia" w:ascii="仿宋_GB2312" w:hAnsi="仿宋_GB2312" w:eastAsia="仿宋_GB2312" w:cs="仿宋_GB2312"/>
          <w:color w:val="333333"/>
          <w:sz w:val="32"/>
          <w:szCs w:val="32"/>
          <w:u w:val="none"/>
          <w:lang w:val="en-US" w:eastAsia="zh-CN"/>
        </w:rPr>
        <w:fldChar w:fldCharType="end"/>
      </w:r>
      <w:r>
        <w:rPr>
          <w:rStyle w:val="10"/>
          <w:rFonts w:hint="eastAsia" w:ascii="仿宋_GB2312" w:hAnsi="仿宋_GB2312" w:eastAsia="仿宋_GB2312" w:cs="仿宋_GB2312"/>
          <w:color w:val="333333"/>
          <w:sz w:val="32"/>
          <w:szCs w:val="32"/>
          <w:u w:val="none"/>
          <w:lang w:val="en-US" w:eastAsia="zh-CN"/>
        </w:rPr>
        <w:t>）上下载。如对本报告有任何疑问，请与景德镇市珠山区商务局办公室联系（地址：景德镇市中山北路319号；邮编：333000；电话：0798-7072396；传真：0798-7072396）。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rPr>
      </w:pPr>
      <w:r>
        <w:rPr>
          <w:rStyle w:val="10"/>
          <w:rFonts w:hint="eastAsia" w:ascii="黑体" w:hAnsi="黑体" w:eastAsia="黑体" w:cs="黑体"/>
          <w:color w:val="333333"/>
          <w:sz w:val="32"/>
          <w:szCs w:val="32"/>
          <w:u w:val="none"/>
          <w:lang w:val="en-US" w:eastAsia="zh-CN"/>
        </w:rPr>
        <w:t>一、概述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    （一）组织机构建设情况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已成立景德镇市珠山区商务局政务公开领导小组，主要领导任组长，分管领导任副组长，委机关各科室和事业单位负责人为成员。政务公开工作由办公室牵头负责。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（二）落实和制定相关配套措施情况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进一步形成了政府信息公开长效工作机制，在组织推进机制、信息发布协调机制、保密审查机制、监督考核机制等方面加强规范、不断完善，避免出现由于机构、人员调整，造成工作断档、管理缺位等现象。指定了专门人员具体从事包括保密审查、信息发布在内的各项政府信息公开日常事务，基本形成了主要领导统筹安排、分管领导牵头负责、责任科室专人实施的工作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（三）建立健全工作机制、制度规范情况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制定出台了《景德镇市珠山区商务局政府信息公开发布制度》。明确提出了公开信息的分类、信息审定、保密审查、信息发布、不予公开的信息以及信息公开工作要求等，同时为了进一步做好我委政府信息公开前的保密审查工作，确保公开发布的信息不涉及国家秘密、商业秘密和个人隐私，专门制定下发了《景德镇市珠山区商务局政府信息公开保密审查制度》，切实推进信息依法、全面、规范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（四）《中华人民共和国政府信息公开条例》的学习、宣传、培训等方面的情况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在干部大会上进行了集中学习，同时采取分组学习，实行集中与分散结合，强化宣传，提高了我局信息工作的积极性和主动性，加强干部对信息工作的责任意识，有效地推动我委信息工作的开展。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二、主动公开政府信息的情况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（一）主动公开政府信息的数量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今年以来，我局主动公开政府信息合计16条。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lang w:val="en-US" w:eastAsia="zh-CN"/>
        </w:rPr>
      </w:pPr>
      <w:r>
        <w:rPr>
          <w:rStyle w:val="10"/>
          <w:rFonts w:hint="eastAsia" w:ascii="黑体" w:hAnsi="黑体" w:eastAsia="黑体" w:cs="黑体"/>
          <w:color w:val="333333"/>
          <w:sz w:val="32"/>
          <w:szCs w:val="32"/>
          <w:u w:val="none"/>
          <w:lang w:val="en-US" w:eastAsia="zh-CN"/>
        </w:rPr>
        <w:t>（二）主动公开政府信息的主要类别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我局按要求主动公开了权力流程图、部门概况、领导信息、文件及工作动态等。</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黑体" w:hAnsi="黑体" w:eastAsia="黑体" w:cs="黑体"/>
          <w:color w:val="333333"/>
          <w:sz w:val="32"/>
          <w:szCs w:val="32"/>
          <w:u w:val="none"/>
          <w:lang w:val="en-US" w:eastAsia="zh-CN"/>
        </w:rPr>
        <w:t>信息公开的形式</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64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包括门户网站、政府公报、新闻发布会，新闻媒体、图书馆和档案馆等查阅场所及其他便民渠道公开的情况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主要通过政府门户网站向社会公开、发布信息，同时也会积极向新闻媒体发布动态信息。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rPr>
      </w:pPr>
      <w:r>
        <w:rPr>
          <w:rStyle w:val="10"/>
          <w:rFonts w:hint="eastAsia" w:ascii="黑体" w:hAnsi="黑体" w:eastAsia="黑体" w:cs="黑体"/>
          <w:color w:val="333333"/>
          <w:sz w:val="32"/>
          <w:szCs w:val="32"/>
          <w:u w:val="none"/>
          <w:lang w:val="en-US" w:eastAsia="zh-CN"/>
        </w:rPr>
        <w:t>三、依申请公开政府信息情况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（一）受理依申请公开的数量（包括当年数量、累计数量及增长率）、受理方式和涉及哪些方面的内容等；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2015年未新增依申请公开信息。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（二）办理情况：包括已答复数、待答复数；已答复中“同意公开”数量、“部分公开”数量和“不予公开”数量，“非政府信息、政府信息不存在、非本机关政府信息”数量；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（三）“不予公开”的政府信息涉及哪些方面内容及不予公开原因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rPr>
      </w:pPr>
      <w:r>
        <w:rPr>
          <w:rStyle w:val="10"/>
          <w:rFonts w:hint="eastAsia" w:ascii="黑体" w:hAnsi="黑体" w:eastAsia="黑体" w:cs="黑体"/>
          <w:color w:val="333333"/>
          <w:sz w:val="32"/>
          <w:szCs w:val="32"/>
          <w:u w:val="none"/>
          <w:lang w:val="en-US" w:eastAsia="zh-CN"/>
        </w:rPr>
        <w:t>四、政府信息公开的收费及减免情况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rPr>
      </w:pPr>
      <w:r>
        <w:rPr>
          <w:rStyle w:val="10"/>
          <w:rFonts w:hint="eastAsia" w:ascii="黑体" w:hAnsi="黑体" w:eastAsia="黑体" w:cs="黑体"/>
          <w:color w:val="333333"/>
          <w:sz w:val="32"/>
          <w:szCs w:val="32"/>
          <w:u w:val="none"/>
          <w:lang w:val="en-US" w:eastAsia="zh-CN"/>
        </w:rPr>
        <w:t>五、因政府信息公开申请行政复议、提起行政诉讼的情况，被举报、投诉或申请行政复议、行政诉讼的情况，包括次数、原因、结果等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rPr>
      </w:pPr>
      <w:r>
        <w:rPr>
          <w:rStyle w:val="10"/>
          <w:rFonts w:hint="eastAsia" w:ascii="黑体" w:hAnsi="黑体" w:eastAsia="黑体" w:cs="黑体"/>
          <w:color w:val="333333"/>
          <w:sz w:val="32"/>
          <w:szCs w:val="32"/>
          <w:u w:val="none"/>
          <w:lang w:val="en-US" w:eastAsia="zh-CN"/>
        </w:rPr>
        <w:t>六、政府信息公开工作存在的主要问题及改进情况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（一）工作中存在的主要问题和困难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我局2015年度在整体确保动态信息数量的同时，更注重信息的时效性，在公文公开方面，秉持着“以公开为常例，以不公开为特例”的原则，对机关向外发布的各类可公开公文进行公示。但还存在信息面不够全、敏感性弱等不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(二)具体解决方法和改进措施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进一步加强学习，及时研究、应对工作中出现的新情况、新问题，做到思想认识到位、提高信息敏感度。加大工作力度，以确保2016年信息公开工作做得更好。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黑体" w:hAnsi="黑体" w:eastAsia="黑体" w:cs="黑体"/>
          <w:color w:val="333333"/>
          <w:sz w:val="32"/>
          <w:szCs w:val="32"/>
          <w:u w:val="none"/>
        </w:rPr>
      </w:pPr>
      <w:r>
        <w:rPr>
          <w:rStyle w:val="10"/>
          <w:rFonts w:hint="eastAsia" w:ascii="黑体" w:hAnsi="黑体" w:eastAsia="黑体" w:cs="黑体"/>
          <w:color w:val="333333"/>
          <w:sz w:val="32"/>
          <w:szCs w:val="32"/>
          <w:u w:val="none"/>
          <w:lang w:val="en-US" w:eastAsia="zh-CN"/>
        </w:rPr>
        <w:t>七、其他需要报告的事项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right"/>
        <w:textAlignment w:val="auto"/>
        <w:outlineLvl w:val="9"/>
        <w:rPr>
          <w:rStyle w:val="10"/>
          <w:rFonts w:hint="eastAsia" w:ascii="仿宋_GB2312" w:hAnsi="仿宋_GB2312" w:eastAsia="仿宋_GB2312" w:cs="仿宋_GB2312"/>
          <w:color w:val="333333"/>
          <w:sz w:val="32"/>
          <w:szCs w:val="32"/>
          <w:u w:val="none"/>
        </w:rPr>
      </w:pPr>
      <w:r>
        <w:rPr>
          <w:rStyle w:val="10"/>
          <w:rFonts w:hint="eastAsia" w:ascii="仿宋_GB2312" w:hAnsi="仿宋_GB2312" w:eastAsia="仿宋_GB2312" w:cs="仿宋_GB2312"/>
          <w:color w:val="333333"/>
          <w:sz w:val="32"/>
          <w:szCs w:val="32"/>
          <w:u w:val="none"/>
          <w:lang w:val="en-US" w:eastAsia="zh-CN"/>
        </w:rPr>
        <w:t>2017年2月23日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18" w:lineRule="atLeast"/>
        <w:ind w:left="0" w:leftChars="0" w:right="0" w:rightChars="0" w:firstLine="880" w:firstLineChars="200"/>
        <w:jc w:val="left"/>
        <w:textAlignment w:val="auto"/>
        <w:outlineLvl w:val="9"/>
        <w:rPr>
          <w:rStyle w:val="10"/>
          <w:rFonts w:hint="eastAsia" w:ascii="仿宋_GB2312" w:hAnsi="仿宋_GB2312" w:eastAsia="仿宋_GB2312" w:cs="仿宋_GB2312"/>
          <w:color w:val="333333"/>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0000000000000000000"/>
    <w:charset w:val="00"/>
    <w:family w:val="auto"/>
    <w:pitch w:val="default"/>
    <w:sig w:usb0="00000000" w:usb1="00000000" w:usb2="00000000" w:usb3="00000000" w:csb0="00000000" w:csb1="00000000"/>
  </w:font>
  <w:font w:name="monospac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microsoft yahei">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E6405"/>
    <w:multiLevelType w:val="singleLevel"/>
    <w:tmpl w:val="58AE640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F62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333333"/>
      <w:u w:val="none"/>
    </w:rPr>
  </w:style>
  <w:style w:type="character" w:styleId="5">
    <w:name w:val="Emphasis"/>
    <w:basedOn w:val="2"/>
    <w:qFormat/>
    <w:uiPriority w:val="0"/>
    <w:rPr>
      <w:b/>
    </w:rPr>
  </w:style>
  <w:style w:type="character" w:styleId="6">
    <w:name w:val="HTML Definition"/>
    <w:basedOn w:val="2"/>
    <w:uiPriority w:val="0"/>
  </w:style>
  <w:style w:type="character" w:styleId="7">
    <w:name w:val="HTML Typewriter"/>
    <w:basedOn w:val="2"/>
    <w:uiPriority w:val="0"/>
    <w:rPr>
      <w:rFonts w:ascii="monospace" w:hAnsi="monospace" w:eastAsia="monospace" w:cs="monospace"/>
      <w:sz w:val="20"/>
    </w:rPr>
  </w:style>
  <w:style w:type="character" w:styleId="8">
    <w:name w:val="HTML Acronym"/>
    <w:basedOn w:val="2"/>
    <w:uiPriority w:val="0"/>
    <w:rPr>
      <w:bdr w:val="none" w:color="auto" w:sz="0" w:space="0"/>
    </w:rPr>
  </w:style>
  <w:style w:type="character" w:styleId="9">
    <w:name w:val="HTML Variable"/>
    <w:basedOn w:val="2"/>
    <w:uiPriority w:val="0"/>
  </w:style>
  <w:style w:type="character" w:styleId="10">
    <w:name w:val="Hyperlink"/>
    <w:basedOn w:val="2"/>
    <w:uiPriority w:val="0"/>
    <w:rPr>
      <w:color w:val="333333"/>
      <w:u w:val="none"/>
    </w:rPr>
  </w:style>
  <w:style w:type="character" w:styleId="11">
    <w:name w:val="HTML Code"/>
    <w:basedOn w:val="2"/>
    <w:uiPriority w:val="0"/>
    <w:rPr>
      <w:rFonts w:hint="default" w:ascii="monospace" w:hAnsi="monospace" w:eastAsia="monospace" w:cs="monospace"/>
      <w:sz w:val="20"/>
      <w:bdr w:val="none" w:color="auto" w:sz="0" w:space="0"/>
    </w:rPr>
  </w:style>
  <w:style w:type="character" w:styleId="12">
    <w:name w:val="HTML Cite"/>
    <w:basedOn w:val="2"/>
    <w:uiPriority w:val="0"/>
  </w:style>
  <w:style w:type="character" w:styleId="13">
    <w:name w:val="HTML Keyboard"/>
    <w:basedOn w:val="2"/>
    <w:uiPriority w:val="0"/>
    <w:rPr>
      <w:rFonts w:hint="default" w:ascii="monospace" w:hAnsi="monospace" w:eastAsia="monospace" w:cs="monospace"/>
      <w:sz w:val="20"/>
    </w:rPr>
  </w:style>
  <w:style w:type="character" w:styleId="14">
    <w:name w:val="HTML Sample"/>
    <w:basedOn w:val="2"/>
    <w:uiPriority w:val="0"/>
    <w:rPr>
      <w:rFonts w:hint="default" w:ascii="monospace" w:hAnsi="monospace" w:eastAsia="monospace" w:cs="monospace"/>
    </w:rPr>
  </w:style>
  <w:style w:type="character" w:customStyle="1" w:styleId="16">
    <w:name w:val="clear"/>
    <w:basedOn w:val="2"/>
    <w:uiPriority w:val="0"/>
  </w:style>
  <w:style w:type="character" w:customStyle="1" w:styleId="17">
    <w:name w:val="select"/>
    <w:basedOn w:val="2"/>
    <w:uiPriority w:val="0"/>
  </w:style>
  <w:style w:type="character" w:customStyle="1" w:styleId="18">
    <w:name w:val="ui-icon43"/>
    <w:basedOn w:val="2"/>
    <w:uiPriority w:val="0"/>
  </w:style>
  <w:style w:type="character" w:customStyle="1" w:styleId="19">
    <w:name w:val="ui-autocomplete"/>
    <w:basedOn w:val="2"/>
    <w:uiPriority w:val="0"/>
  </w:style>
  <w:style w:type="character" w:customStyle="1" w:styleId="20">
    <w:name w:val="comboiconspanclear"/>
    <w:basedOn w:val="2"/>
    <w:uiPriority w:val="0"/>
  </w:style>
  <w:style w:type="character" w:customStyle="1" w:styleId="21">
    <w:name w:val="comboiconspan"/>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2017-02-23T04:24:20Z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