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center"/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政府信息公开情况统计表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br w:type="textWrapping"/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</w:t>
      </w:r>
      <w:r>
        <w:rPr>
          <w:rFonts w:hint="eastAsia" w:ascii="楷体_GB2312" w:eastAsia="楷体_GB2312"/>
          <w:color w:val="000000"/>
          <w:kern w:val="0"/>
          <w:sz w:val="32"/>
          <w:szCs w:val="32"/>
        </w:rPr>
        <w:t>2018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年度）</w:t>
      </w:r>
    </w:p>
    <w:p>
      <w:pPr>
        <w:widowControl/>
        <w:spacing w:line="420" w:lineRule="atLeast"/>
        <w:ind w:left="-206" w:leftChars="-98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填报单位（盖章）：珠山区民政局</w:t>
      </w:r>
    </w:p>
    <w:tbl>
      <w:tblPr>
        <w:tblStyle w:val="2"/>
        <w:tblW w:w="9450" w:type="dxa"/>
        <w:jc w:val="center"/>
        <w:tblInd w:w="-16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2"/>
        <w:gridCol w:w="1080"/>
        <w:gridCol w:w="1138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统　计　指　标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一、主动公开情况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（一）主动公开政府信息数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（不同渠道和方式公开相同信息计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条）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89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其中：主动公开规范性文件数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制发规范性文件总数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（二）通过不同渠道和方式公开政府信息的情况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政府公报公开政府信息数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政府网站公开政府信息数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89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政务微博公开政府信息数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政务微信公开政府信息数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其他方式公开政府信息数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二、回应解读情况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（一）回应公众关注热点或重大舆情数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（不同方式回应同一热点或舆情计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次）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（二）通过不同渠道和方式回应解读的情况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参加或举办新闻发布会总次数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其中：主要负责同志参加新闻发布会次数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政府网站在线访谈次数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其中：主要负责同志参加政府网站在线访</w:t>
            </w:r>
          </w:p>
          <w:p>
            <w:pPr>
              <w:widowControl/>
              <w:spacing w:line="420" w:lineRule="atLeast"/>
              <w:ind w:firstLine="2700" w:firstLineChars="9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谈次数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政策解读稿件发布数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篇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微博微信回应事件数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其他方式回应事件数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三、依申请公开情况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（一）收到申请数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当面申请数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传真申请数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网络申请数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信函申请数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（二）申请办结数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按时办结数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延期办结数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（三）申请答复数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属于已主动公开范围数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同意公开答复数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同意部分公开答复数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不同意公开答复数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其中：涉及国家秘密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涉及商业秘密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涉及个人隐私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危及国家安全、公共安全、经济安</w:t>
            </w:r>
          </w:p>
          <w:p>
            <w:pPr>
              <w:widowControl/>
              <w:spacing w:line="420" w:lineRule="atLeast"/>
              <w:ind w:firstLine="2850" w:firstLineChars="95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全和社会稳定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不是《条例》所指政府信息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　　　　法律法规规定的其他情形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不属于本行政机关公开数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申请信息不存在数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告知作出更改补充数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告知通过其他途径办理数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四、行政复议数量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（一）维持具体行政行为数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（二）被依法纠错数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（三）其他情形数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五、行政诉讼数量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（一）维持具体行政行为或者驳回原告诉讼请求数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（二）被依法纠错数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（三）其他情形数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六、举报投诉数量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七、依申请公开信息收取的费用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万元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八、机构建设和保障经费情况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（一）政府信息公开工作专门机构数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个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（二）设置政府信息公开查阅点数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个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（三）从事政府信息公开工作人员数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专职人员数（不包括政府公报及政府网站</w:t>
            </w:r>
          </w:p>
          <w:p>
            <w:pPr>
              <w:widowControl/>
              <w:spacing w:line="420" w:lineRule="atLeast"/>
              <w:ind w:firstLine="1800" w:firstLineChars="6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工作人员数）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兼职人员数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ind w:firstLine="6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（四）政府信息公开专项经费（不包括用于政府公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　　　报编辑管理及政府网站建设维护等方面的经</w:t>
            </w:r>
          </w:p>
          <w:p>
            <w:pPr>
              <w:widowControl/>
              <w:spacing w:line="420" w:lineRule="atLeast"/>
              <w:ind w:firstLine="1500" w:firstLineChars="5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费）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万元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九、政府信息公开会议和培训情况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（一）召开政府信息公开工作会议或专题会议数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（二）举办各类培训班数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　　（三）接受培训人员数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人次</w:t>
            </w:r>
          </w:p>
        </w:tc>
        <w:tc>
          <w:tcPr>
            <w:tcW w:w="11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</w:tr>
    </w:tbl>
    <w:p>
      <w:pPr>
        <w:spacing w:line="440" w:lineRule="exact"/>
        <w:jc w:val="left"/>
        <w:rPr>
          <w:rFonts w:eastAsia="仿宋_GB2312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96ADE"/>
    <w:rsid w:val="42396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2019-03-26T04:01:00Z</dcterms:created>
  <dc:creator>小磕巴</dc:creator>
  <cp:lastModifiedBy>小磕巴</cp:lastModifiedBy>
  <dcterms:modified xsi:type="dcterms:W3CDTF">2019-03-26T04:01:32Z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