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Autospacing="0" w:afterAutospacing="0" w:line="560" w:lineRule="exact"/>
        <w:jc w:val="center"/>
        <w:rPr>
          <w:rFonts w:hint="eastAsia" w:ascii="方正小标宋简体" w:hAnsi="微软雅黑" w:eastAsia="方正小标宋简体"/>
          <w:sz w:val="44"/>
          <w:szCs w:val="44"/>
        </w:rPr>
      </w:pPr>
      <w:bookmarkStart w:id="0" w:name="_GoBack"/>
      <w:bookmarkEnd w:id="0"/>
      <w:r>
        <w:rPr>
          <w:rFonts w:hint="eastAsia" w:ascii="方正小标宋简体" w:hAnsi="微软雅黑" w:eastAsia="方正小标宋简体"/>
          <w:sz w:val="44"/>
          <w:szCs w:val="44"/>
        </w:rPr>
        <w:t>2019年珠山区发改委政府信息公开工作</w:t>
      </w:r>
    </w:p>
    <w:p>
      <w:pPr>
        <w:pStyle w:val="5"/>
        <w:shd w:val="clear" w:color="auto" w:fill="FFFFFF"/>
        <w:spacing w:beforeAutospacing="0" w:afterAutospacing="0" w:line="560" w:lineRule="exact"/>
        <w:jc w:val="center"/>
        <w:rPr>
          <w:rFonts w:ascii="仿宋_GB2312" w:eastAsia="仿宋_GB2312"/>
          <w:bCs/>
          <w:sz w:val="32"/>
          <w:szCs w:val="32"/>
        </w:rPr>
      </w:pPr>
      <w:r>
        <w:rPr>
          <w:rFonts w:hint="eastAsia" w:ascii="方正小标宋简体" w:hAnsi="微软雅黑" w:eastAsia="方正小标宋简体"/>
          <w:sz w:val="44"/>
          <w:szCs w:val="44"/>
        </w:rPr>
        <w:t>年度报告</w:t>
      </w:r>
    </w:p>
    <w:p>
      <w:pPr>
        <w:widowControl/>
        <w:spacing w:line="560" w:lineRule="exact"/>
        <w:ind w:firstLine="640"/>
        <w:rPr>
          <w:rFonts w:hint="eastAsia" w:ascii="仿宋_GB2312" w:hAnsi="微软雅黑" w:eastAsia="仿宋_GB2312" w:cs="宋体"/>
          <w:kern w:val="0"/>
          <w:sz w:val="32"/>
          <w:szCs w:val="32"/>
        </w:rPr>
      </w:pPr>
    </w:p>
    <w:p>
      <w:pPr>
        <w:widowControl/>
        <w:spacing w:line="560" w:lineRule="exact"/>
        <w:ind w:firstLine="640"/>
        <w:rPr>
          <w:rFonts w:hint="eastAsia" w:ascii="黑体" w:hAnsi="微软雅黑" w:eastAsia="黑体" w:cs="宋体"/>
          <w:kern w:val="0"/>
          <w:sz w:val="32"/>
          <w:szCs w:val="32"/>
        </w:rPr>
      </w:pPr>
      <w:r>
        <w:rPr>
          <w:rFonts w:hint="eastAsia" w:ascii="黑体" w:hAnsi="微软雅黑" w:eastAsia="黑体" w:cs="宋体"/>
          <w:kern w:val="0"/>
          <w:sz w:val="32"/>
          <w:szCs w:val="32"/>
        </w:rPr>
        <w:t>一、总体情况</w:t>
      </w:r>
    </w:p>
    <w:p>
      <w:pPr>
        <w:widowControl/>
        <w:spacing w:line="560" w:lineRule="exact"/>
        <w:ind w:firstLine="64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2019年，区发改委政府信息公开工作根据《中华人民共和国政府信息公开条例》精神，按照区委、区政府的部署要求，结合全区发展改革工作实际，加强领导，落实责任，按照公开、公正、公平和勤政、廉政、便民的要求，规范公开内容，创新公开形式，突出公开重点，提高公开水平，努力做到以公开促廉政，以公开增合力，以公开树形象，有力促进了各项工作的开展，取得了较为明显的成效。现将我委2019年政府信息公开工作有关情况报告如下：</w:t>
      </w:r>
    </w:p>
    <w:p>
      <w:pPr>
        <w:widowControl/>
        <w:spacing w:line="560" w:lineRule="exact"/>
        <w:ind w:firstLine="643"/>
        <w:rPr>
          <w:rFonts w:hint="eastAsia" w:ascii="仿宋_GB2312" w:hAnsi="微软雅黑" w:eastAsia="仿宋_GB2312" w:cs="宋体"/>
          <w:kern w:val="0"/>
          <w:sz w:val="32"/>
          <w:szCs w:val="32"/>
        </w:rPr>
      </w:pPr>
      <w:r>
        <w:rPr>
          <w:rFonts w:hint="eastAsia" w:ascii="楷体_GB2312" w:hAnsi="微软雅黑" w:eastAsia="楷体_GB2312" w:cs="宋体"/>
          <w:bCs/>
          <w:kern w:val="0"/>
          <w:sz w:val="32"/>
          <w:szCs w:val="32"/>
        </w:rPr>
        <w:t>1、加强组织领导。</w:t>
      </w:r>
      <w:r>
        <w:rPr>
          <w:rFonts w:hint="eastAsia" w:ascii="仿宋_GB2312" w:hAnsi="微软雅黑" w:eastAsia="仿宋_GB2312" w:cs="宋体"/>
          <w:kern w:val="0"/>
          <w:sz w:val="32"/>
          <w:szCs w:val="32"/>
        </w:rPr>
        <w:t>政府信息公开是政府机关依法行政，切实加强机关作风建设，提高办事效率，实行“阳光政务”，从源头上预防和治理腐败的一项重要措施和手段。为加强政府信息公开工作的领导，我委成立了政府信息公开工作领导小组，由委党组书记、主任任组长，各党组成员为领导小组成员，并实行一把手亲自抓、负总责。委政府信息公开工作领导小组下设办公室在委办公室，具体负责政府信息公开日常工作的开展。为使政府信息公开规范化、制度化、有条不紊地开展，我委严格规范政府信息公开的内容、形式和程序，从而为我委开展政府信息公开工作提供了强而有力的组织领导和制度保证。</w:t>
      </w:r>
    </w:p>
    <w:p>
      <w:pPr>
        <w:widowControl/>
        <w:spacing w:line="560" w:lineRule="exact"/>
        <w:ind w:firstLine="643"/>
        <w:rPr>
          <w:rFonts w:hint="eastAsia" w:ascii="仿宋_GB2312" w:hAnsi="微软雅黑" w:eastAsia="仿宋_GB2312" w:cs="宋体"/>
          <w:kern w:val="0"/>
          <w:sz w:val="32"/>
          <w:szCs w:val="32"/>
        </w:rPr>
      </w:pPr>
      <w:r>
        <w:rPr>
          <w:rFonts w:hint="eastAsia" w:ascii="楷体_GB2312" w:hAnsi="微软雅黑" w:eastAsia="楷体_GB2312" w:cs="宋体"/>
          <w:bCs/>
          <w:kern w:val="0"/>
          <w:sz w:val="32"/>
          <w:szCs w:val="32"/>
        </w:rPr>
        <w:t>2、健全公开制度。</w:t>
      </w:r>
      <w:r>
        <w:rPr>
          <w:rFonts w:hint="eastAsia" w:ascii="仿宋_GB2312" w:hAnsi="微软雅黑" w:eastAsia="仿宋_GB2312" w:cs="宋体"/>
          <w:kern w:val="0"/>
          <w:sz w:val="32"/>
          <w:szCs w:val="32"/>
        </w:rPr>
        <w:t>我委采用规范发文，坚持以“公开为原则，不公开为例外”，一把手亲自审定每一条对外公布的信息。在进一步加强政府信息公开工作中切实做到：一是加强政府信息公开工作的制度建设，编制了珠山区发改委政府信息公开管理制度、主动公开制度、依申请公开制度等相关制度，并对政府信息公开工作责任追究制度在实践中进一步明确。二是明确推行政府信息公开工作的时限，按照“合法、全面、准确、及时”的要求公开政府信息，并对已公开的政府信息发生变化或失效的进行及时更新。三是不断规范推行政府信息公开工作的流程，使得委机关各股室都参与到政府信息公开工作中来。</w:t>
      </w:r>
    </w:p>
    <w:p>
      <w:pPr>
        <w:widowControl/>
        <w:spacing w:line="560" w:lineRule="exact"/>
        <w:ind w:firstLine="643"/>
        <w:rPr>
          <w:rFonts w:hint="eastAsia" w:ascii="仿宋_GB2312" w:hAnsi="微软雅黑" w:eastAsia="仿宋_GB2312" w:cs="宋体"/>
          <w:kern w:val="0"/>
          <w:sz w:val="32"/>
          <w:szCs w:val="32"/>
        </w:rPr>
      </w:pPr>
      <w:r>
        <w:rPr>
          <w:rFonts w:hint="eastAsia" w:ascii="楷体_GB2312" w:hAnsi="微软雅黑" w:eastAsia="楷体_GB2312" w:cs="宋体"/>
          <w:bCs/>
          <w:kern w:val="0"/>
          <w:sz w:val="32"/>
          <w:szCs w:val="32"/>
        </w:rPr>
        <w:t>3、组织学习培训。</w:t>
      </w:r>
      <w:r>
        <w:rPr>
          <w:rFonts w:hint="eastAsia" w:ascii="仿宋_GB2312" w:hAnsi="微软雅黑" w:eastAsia="仿宋_GB2312" w:cs="宋体"/>
          <w:kern w:val="0"/>
          <w:sz w:val="32"/>
          <w:szCs w:val="32"/>
        </w:rPr>
        <w:t>为切实提高机关工作人员素质，我委采取多种方式，组织全委干部职工进行包括对上级相关文件、</w:t>
      </w:r>
      <w:r>
        <w:rPr>
          <w:rFonts w:hint="eastAsia" w:ascii="仿宋_GB2312" w:hAnsi="微软雅黑" w:eastAsia="仿宋_GB2312" w:cs="宋体"/>
          <w:kern w:val="0"/>
          <w:sz w:val="32"/>
          <w:szCs w:val="32"/>
          <w:lang w:eastAsia="zh-CN"/>
        </w:rPr>
        <w:t>《中华人民共和国政府信息公开条例》</w:t>
      </w:r>
      <w:r>
        <w:rPr>
          <w:rFonts w:hint="eastAsia" w:ascii="仿宋_GB2312" w:hAnsi="微软雅黑" w:eastAsia="仿宋_GB2312" w:cs="宋体"/>
          <w:kern w:val="0"/>
          <w:sz w:val="32"/>
          <w:szCs w:val="32"/>
        </w:rPr>
        <w:t>、政务公开法规在内的学习和培训，不断提高对推行政府信息公开重要意义的认识，使得全委干部职工都认识到在新形势下政府信息公开的重要性。通过培训，我委全体干部职工进一步认识到推行政府信息公开是打造透明政府的需要，更加准确地理解了专业法律法规基本内容及行为规范，为努力打造公开、透明、廉洁、高效的服务型政府部门打下了良好基础。</w:t>
      </w:r>
    </w:p>
    <w:p>
      <w:pPr>
        <w:widowControl/>
        <w:spacing w:line="560" w:lineRule="exact"/>
        <w:ind w:firstLine="640"/>
        <w:rPr>
          <w:rFonts w:hint="eastAsia" w:ascii="黑体" w:hAnsi="微软雅黑" w:eastAsia="黑体" w:cs="宋体"/>
          <w:kern w:val="0"/>
          <w:sz w:val="32"/>
          <w:szCs w:val="32"/>
        </w:rPr>
      </w:pPr>
      <w:r>
        <w:rPr>
          <w:rFonts w:hint="eastAsia" w:ascii="微软雅黑" w:hAnsi="微软雅黑" w:eastAsia="仿宋_GB2312" w:cs="宋体"/>
          <w:kern w:val="0"/>
          <w:sz w:val="32"/>
          <w:szCs w:val="32"/>
        </w:rPr>
        <w:t> </w:t>
      </w:r>
      <w:r>
        <w:rPr>
          <w:rFonts w:hint="eastAsia" w:ascii="黑体" w:hAnsi="微软雅黑" w:eastAsia="黑体" w:cs="宋体"/>
          <w:kern w:val="0"/>
          <w:sz w:val="32"/>
          <w:szCs w:val="32"/>
        </w:rPr>
        <w:t>二、主动公开政府信息情况</w:t>
      </w:r>
    </w:p>
    <w:p>
      <w:pPr>
        <w:widowControl/>
        <w:spacing w:line="560" w:lineRule="exact"/>
        <w:ind w:firstLine="640"/>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我委做到政府信息公开平台定期更新，全年共发布信息133条。主动公开信息类别包括部门介绍、机构职能、领导信息、发展规划、工作计划、政务动态、公告公示、重大建设项目等。</w:t>
      </w:r>
    </w:p>
    <w:p>
      <w:pPr>
        <w:pStyle w:val="2"/>
      </w:pPr>
    </w:p>
    <w:tbl>
      <w:tblPr>
        <w:tblStyle w:val="6"/>
        <w:tblW w:w="8140" w:type="dxa"/>
        <w:jc w:val="center"/>
        <w:shd w:val="clear" w:color="auto" w:fill="FFFFFF" w:themeFill="background1"/>
        <w:tblLayout w:type="fixed"/>
        <w:tblCellMar>
          <w:top w:w="0" w:type="dxa"/>
          <w:left w:w="0" w:type="dxa"/>
          <w:bottom w:w="0" w:type="dxa"/>
          <w:right w:w="0" w:type="dxa"/>
        </w:tblCellMar>
      </w:tblPr>
      <w:tblGrid>
        <w:gridCol w:w="3113"/>
        <w:gridCol w:w="1875"/>
        <w:gridCol w:w="6"/>
        <w:gridCol w:w="1265"/>
        <w:gridCol w:w="1881"/>
      </w:tblGrid>
      <w:tr>
        <w:tblPrEx>
          <w:shd w:val="clear" w:color="auto" w:fill="FFFFFF" w:themeFill="background1"/>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第二十条第（一）项</w:t>
            </w:r>
          </w:p>
        </w:tc>
      </w:tr>
      <w:tr>
        <w:tblPrEx>
          <w:shd w:val="clear" w:color="auto" w:fill="FFFFFF" w:themeFill="background1"/>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Theme="minorHAnsi" w:hAnsiTheme="minorHAnsi" w:eastAsiaTheme="minorEastAsia" w:cstheme="minorBidi"/>
                <w:kern w:val="0"/>
                <w:sz w:val="20"/>
                <w:szCs w:val="20"/>
              </w:rPr>
              <w:t>制作数量</w:t>
            </w:r>
          </w:p>
        </w:tc>
        <w:tc>
          <w:tcPr>
            <w:tcW w:w="1271"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本年新</w:t>
            </w:r>
            <w:r>
              <w:rPr>
                <w:rFonts w:hint="eastAsia" w:ascii="宋体" w:hAnsi="宋体" w:cs="宋体"/>
                <w:color w:val="000000"/>
                <w:kern w:val="0"/>
                <w:sz w:val="20"/>
                <w:szCs w:val="20"/>
              </w:rPr>
              <w:br w:type="textWrapping"/>
            </w:r>
            <w:r>
              <w:rPr>
                <w:rFonts w:asciiTheme="minorHAnsi" w:hAnsiTheme="minorHAnsi" w:eastAsiaTheme="minorEastAsia" w:cstheme="minorBidi"/>
                <w:kern w:val="0"/>
                <w:sz w:val="20"/>
                <w:szCs w:val="20"/>
              </w:rPr>
              <w:t>公开数量</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对外公开总数量</w:t>
            </w:r>
          </w:p>
        </w:tc>
      </w:tr>
      <w:tr>
        <w:tblPrEx>
          <w:shd w:val="clear" w:color="auto" w:fill="FFFFFF" w:themeFill="background1"/>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规章</w:t>
            </w:r>
          </w:p>
        </w:tc>
        <w:tc>
          <w:tcPr>
            <w:tcW w:w="187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27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shd w:val="clear" w:color="auto" w:fill="FFFFFF" w:themeFill="background1"/>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规范性文件</w:t>
            </w:r>
          </w:p>
        </w:tc>
        <w:tc>
          <w:tcPr>
            <w:tcW w:w="187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27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shd w:val="clear" w:color="auto" w:fill="FFFFFF" w:themeFill="background1"/>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第二十条第（五）项</w:t>
            </w:r>
          </w:p>
        </w:tc>
      </w:tr>
      <w:tr>
        <w:tblPrEx>
          <w:shd w:val="clear" w:color="auto" w:fill="FFFFFF" w:themeFill="background1"/>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处理决定数量</w:t>
            </w:r>
          </w:p>
        </w:tc>
      </w:tr>
      <w:tr>
        <w:tblPrEx>
          <w:shd w:val="clear" w:color="auto" w:fill="FFFFFF" w:themeFill="background1"/>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行政许可</w:t>
            </w:r>
          </w:p>
        </w:tc>
        <w:tc>
          <w:tcPr>
            <w:tcW w:w="188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26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shd w:val="clear" w:color="auto" w:fill="FFFFFF" w:themeFill="background1"/>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50</w:t>
            </w:r>
          </w:p>
        </w:tc>
        <w:tc>
          <w:tcPr>
            <w:tcW w:w="126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30</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50</w:t>
            </w:r>
          </w:p>
        </w:tc>
      </w:tr>
      <w:tr>
        <w:tblPrEx>
          <w:shd w:val="clear" w:color="auto" w:fill="FFFFFF" w:themeFill="background1"/>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第二十条第（六）项</w:t>
            </w:r>
          </w:p>
        </w:tc>
      </w:tr>
      <w:tr>
        <w:tblPrEx>
          <w:shd w:val="clear" w:color="auto" w:fill="FFFFFF" w:themeFill="background1"/>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本年增/减</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处理决定数量</w:t>
            </w:r>
          </w:p>
        </w:tc>
      </w:tr>
      <w:tr>
        <w:tblPrEx>
          <w:shd w:val="clear" w:color="auto" w:fill="FFFFFF" w:themeFill="background1"/>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行政处罚</w:t>
            </w:r>
          </w:p>
        </w:tc>
        <w:tc>
          <w:tcPr>
            <w:tcW w:w="188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26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shd w:val="clear" w:color="auto" w:fill="FFFFFF" w:themeFill="background1"/>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行政强制</w:t>
            </w:r>
          </w:p>
        </w:tc>
        <w:tc>
          <w:tcPr>
            <w:tcW w:w="188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265"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1881" w:type="dxa"/>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shd w:val="clear" w:color="auto" w:fill="FFFFFF" w:themeFill="background1"/>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第二十条第（八）项</w:t>
            </w:r>
          </w:p>
        </w:tc>
      </w:tr>
      <w:tr>
        <w:tblPrEx>
          <w:shd w:val="clear" w:color="auto" w:fill="FFFFFF" w:themeFill="background1"/>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本年增/减</w:t>
            </w:r>
          </w:p>
        </w:tc>
      </w:tr>
      <w:tr>
        <w:tblPrEx>
          <w:shd w:val="clear" w:color="auto" w:fill="FFFFFF" w:themeFill="background1"/>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left"/>
            </w:pPr>
            <w:r>
              <w:rPr>
                <w:rFonts w:hint="eastAsia" w:ascii="宋体" w:hAnsi="宋体"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3146" w:type="dxa"/>
            <w:gridSpan w:val="2"/>
            <w:tcBorders>
              <w:top w:val="nil"/>
              <w:left w:val="nil"/>
              <w:bottom w:val="single" w:color="auto" w:sz="8" w:space="0"/>
              <w:right w:val="single" w:color="000000"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r>
      <w:tr>
        <w:tblPrEx>
          <w:shd w:val="clear" w:color="auto" w:fill="FFFFFF" w:themeFill="background1"/>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第二十条第（九）项</w:t>
            </w:r>
          </w:p>
        </w:tc>
      </w:tr>
      <w:tr>
        <w:tblPrEx>
          <w:shd w:val="clear" w:color="auto" w:fill="FFFFFF" w:themeFill="background1"/>
          <w:tblCellMar>
            <w:top w:w="0" w:type="dxa"/>
            <w:left w:w="0" w:type="dxa"/>
            <w:bottom w:w="0" w:type="dxa"/>
            <w:right w:w="0" w:type="dxa"/>
          </w:tblCellMar>
        </w:tblPrEx>
        <w:trPr>
          <w:trHeight w:val="585" w:hRule="atLeast"/>
          <w:jc w:val="center"/>
        </w:trPr>
        <w:tc>
          <w:tcPr>
            <w:tcW w:w="311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pPr>
              <w:widowControl/>
              <w:spacing w:line="600" w:lineRule="exact"/>
              <w:jc w:val="left"/>
            </w:pPr>
            <w:r>
              <w:rPr>
                <w:rFonts w:hint="eastAsia" w:ascii="宋体" w:hAnsi="宋体" w:cs="宋体"/>
                <w:color w:val="000000"/>
                <w:kern w:val="0"/>
                <w:sz w:val="20"/>
                <w:szCs w:val="20"/>
              </w:rPr>
              <w:t>信息内容</w:t>
            </w:r>
          </w:p>
        </w:tc>
        <w:tc>
          <w:tcPr>
            <w:tcW w:w="1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pPr>
              <w:widowControl/>
              <w:spacing w:line="600" w:lineRule="exact"/>
              <w:jc w:val="left"/>
            </w:pPr>
            <w:r>
              <w:rPr>
                <w:rFonts w:hint="eastAsia" w:ascii="宋体" w:hAnsi="宋体" w:cs="宋体"/>
                <w:color w:val="000000"/>
                <w:kern w:val="0"/>
                <w:sz w:val="20"/>
                <w:szCs w:val="20"/>
              </w:rPr>
              <w:t>采购项目数量</w:t>
            </w:r>
          </w:p>
        </w:tc>
        <w:tc>
          <w:tcPr>
            <w:tcW w:w="314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pPr>
              <w:widowControl/>
              <w:spacing w:line="600" w:lineRule="exact"/>
              <w:jc w:val="left"/>
            </w:pPr>
            <w:r>
              <w:rPr>
                <w:rFonts w:hint="eastAsia" w:ascii="宋体" w:hAnsi="宋体" w:cs="宋体"/>
                <w:color w:val="000000"/>
                <w:kern w:val="0"/>
                <w:sz w:val="20"/>
                <w:szCs w:val="20"/>
              </w:rPr>
              <w:t>采购总金额</w:t>
            </w:r>
          </w:p>
        </w:tc>
      </w:tr>
      <w:tr>
        <w:tblPrEx>
          <w:shd w:val="clear" w:color="auto" w:fill="FFFFFF" w:themeFill="background1"/>
          <w:tblCellMar>
            <w:top w:w="0" w:type="dxa"/>
            <w:left w:w="0" w:type="dxa"/>
            <w:bottom w:w="0" w:type="dxa"/>
            <w:right w:w="0" w:type="dxa"/>
          </w:tblCellMar>
        </w:tblPrEx>
        <w:trPr>
          <w:trHeight w:val="539" w:hRule="atLeast"/>
          <w:jc w:val="center"/>
        </w:trPr>
        <w:tc>
          <w:tcPr>
            <w:tcW w:w="3113" w:type="dxa"/>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tcPr>
          <w:p>
            <w:pPr>
              <w:widowControl/>
              <w:spacing w:line="600" w:lineRule="exact"/>
              <w:jc w:val="left"/>
            </w:pPr>
            <w:r>
              <w:rPr>
                <w:rFonts w:hint="eastAsia" w:ascii="宋体" w:hAnsi="宋体" w:cs="宋体"/>
                <w:color w:val="000000"/>
                <w:kern w:val="0"/>
                <w:sz w:val="20"/>
                <w:szCs w:val="20"/>
              </w:rPr>
              <w:t>政府集中采购</w:t>
            </w:r>
          </w:p>
        </w:tc>
        <w:tc>
          <w:tcPr>
            <w:tcW w:w="1881"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widowControl/>
              <w:spacing w:line="600" w:lineRule="exact"/>
              <w:jc w:val="center"/>
            </w:pPr>
            <w:r>
              <w:rPr>
                <w:rFonts w:hint="eastAsia"/>
              </w:rPr>
              <w:t>0</w:t>
            </w:r>
          </w:p>
        </w:tc>
        <w:tc>
          <w:tcPr>
            <w:tcW w:w="3146" w:type="dxa"/>
            <w:gridSpan w:val="2"/>
            <w:tcBorders>
              <w:top w:val="single" w:color="auto" w:sz="8" w:space="0"/>
              <w:left w:val="single" w:color="auto" w:sz="8" w:space="0"/>
              <w:bottom w:val="single" w:color="auto" w:sz="8" w:space="0"/>
              <w:right w:val="single" w:color="auto" w:sz="8" w:space="0"/>
            </w:tcBorders>
            <w:shd w:val="clear" w:color="auto" w:fill="FFFFFF" w:themeFill="background1"/>
            <w:tcMar>
              <w:left w:w="108" w:type="dxa"/>
              <w:right w:w="108" w:type="dxa"/>
            </w:tcMar>
            <w:vAlign w:val="center"/>
          </w:tcPr>
          <w:p>
            <w:pPr>
              <w:spacing w:line="600" w:lineRule="exact"/>
              <w:jc w:val="center"/>
              <w:rPr>
                <w:rFonts w:ascii="宋体"/>
                <w:sz w:val="24"/>
                <w:szCs w:val="24"/>
              </w:rPr>
            </w:pPr>
            <w:r>
              <w:rPr>
                <w:rFonts w:hint="eastAsia" w:ascii="宋体"/>
                <w:sz w:val="24"/>
                <w:szCs w:val="24"/>
              </w:rPr>
              <w:t>0</w:t>
            </w:r>
          </w:p>
        </w:tc>
      </w:tr>
    </w:tbl>
    <w:p>
      <w:pPr>
        <w:pStyle w:val="5"/>
        <w:shd w:val="clear" w:color="auto" w:fill="FFFFFF"/>
        <w:spacing w:beforeAutospacing="0" w:afterAutospacing="0" w:line="600" w:lineRule="exact"/>
        <w:ind w:firstLine="420"/>
        <w:jc w:val="both"/>
        <w:rPr>
          <w:color w:val="333333"/>
        </w:rPr>
      </w:pPr>
    </w:p>
    <w:p>
      <w:pPr>
        <w:pStyle w:val="5"/>
        <w:shd w:val="clear" w:color="auto" w:fill="FFFFFF"/>
        <w:spacing w:beforeAutospacing="0" w:afterAutospacing="0" w:line="600" w:lineRule="exact"/>
        <w:ind w:firstLine="420"/>
        <w:jc w:val="both"/>
        <w:rPr>
          <w:color w:val="333333"/>
        </w:rPr>
      </w:pPr>
    </w:p>
    <w:p>
      <w:pPr>
        <w:pStyle w:val="5"/>
        <w:shd w:val="clear" w:color="auto" w:fill="FFFFFF"/>
        <w:spacing w:beforeAutospacing="0" w:afterAutospacing="0" w:line="600" w:lineRule="exact"/>
        <w:ind w:firstLine="420"/>
        <w:jc w:val="both"/>
        <w:rPr>
          <w:rFonts w:ascii="黑体" w:hAnsi="方正黑体简体" w:eastAsia="黑体" w:cs="方正黑体简体"/>
          <w:bCs/>
          <w:sz w:val="32"/>
          <w:szCs w:val="32"/>
          <w:shd w:val="clear" w:color="auto" w:fill="FFFFFF"/>
        </w:rPr>
      </w:pPr>
      <w:r>
        <w:rPr>
          <w:rFonts w:hint="eastAsia" w:ascii="黑体" w:eastAsia="黑体"/>
          <w:bCs/>
          <w:sz w:val="32"/>
          <w:szCs w:val="32"/>
          <w:shd w:val="clear" w:color="auto" w:fill="FFFFFF"/>
        </w:rPr>
        <w:t>三、</w:t>
      </w:r>
      <w:r>
        <w:rPr>
          <w:rFonts w:hint="eastAsia" w:ascii="黑体" w:hAnsi="方正黑体简体" w:eastAsia="黑体" w:cs="方正黑体简体"/>
          <w:bCs/>
          <w:sz w:val="32"/>
          <w:szCs w:val="32"/>
          <w:shd w:val="clear" w:color="auto" w:fill="FFFFFF"/>
        </w:rPr>
        <w:t>收到和处理政府信息公开申请情况</w:t>
      </w:r>
    </w:p>
    <w:p>
      <w:pPr>
        <w:pStyle w:val="5"/>
        <w:shd w:val="clear" w:color="auto" w:fill="FFFFFF"/>
        <w:spacing w:beforeAutospacing="0" w:afterAutospacing="0" w:line="600" w:lineRule="exact"/>
        <w:ind w:firstLine="420"/>
        <w:jc w:val="both"/>
        <w:rPr>
          <w:rFonts w:ascii="方正黑体简体" w:hAnsi="方正黑体简体" w:eastAsia="方正黑体简体" w:cs="方正黑体简体"/>
          <w:color w:val="333333"/>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8"/>
        <w:gridCol w:w="855"/>
        <w:gridCol w:w="2089"/>
        <w:gridCol w:w="814"/>
        <w:gridCol w:w="756"/>
        <w:gridCol w:w="756"/>
        <w:gridCol w:w="815"/>
        <w:gridCol w:w="976"/>
        <w:gridCol w:w="713"/>
        <w:gridCol w:w="67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（本列数据的勾稽关系为：第一项加第二项之和，等于第三项加第四项之和）</w:t>
            </w:r>
          </w:p>
        </w:tc>
        <w:tc>
          <w:tcPr>
            <w:tcW w:w="5509"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1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自然人</w:t>
            </w:r>
          </w:p>
        </w:tc>
        <w:tc>
          <w:tcPr>
            <w:tcW w:w="4016"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法人或其他组织</w:t>
            </w:r>
          </w:p>
        </w:tc>
        <w:tc>
          <w:tcPr>
            <w:tcW w:w="67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1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商业企业</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科研机构</w:t>
            </w:r>
          </w:p>
        </w:tc>
        <w:tc>
          <w:tcPr>
            <w:tcW w:w="8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社会公益组织</w:t>
            </w:r>
          </w:p>
        </w:tc>
        <w:tc>
          <w:tcPr>
            <w:tcW w:w="9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法律服务机构</w:t>
            </w:r>
          </w:p>
        </w:tc>
        <w:tc>
          <w:tcPr>
            <w:tcW w:w="7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其他</w:t>
            </w:r>
          </w:p>
        </w:tc>
        <w:tc>
          <w:tcPr>
            <w:tcW w:w="67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宋体" w:hAnsi="宋体" w:cs="宋体"/>
                <w:kern w:val="0"/>
                <w:sz w:val="20"/>
                <w:szCs w:val="20"/>
              </w:rPr>
              <w:t>一、本年新收政府信息公开申请数量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宋体" w:hAnsi="宋体" w:cs="宋体"/>
                <w:kern w:val="0"/>
                <w:sz w:val="20"/>
                <w:szCs w:val="20"/>
              </w:rPr>
              <w:t>二、上年结转政府信息公开申请数量</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宋体" w:hAnsi="宋体" w:cs="宋体"/>
                <w:kern w:val="0"/>
                <w:sz w:val="20"/>
                <w:szCs w:val="20"/>
              </w:rPr>
              <w:t>三、本年度办理结果</w:t>
            </w:r>
          </w:p>
        </w:tc>
        <w:tc>
          <w:tcPr>
            <w:tcW w:w="294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（一）予以公开</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94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（二）部分公开（区分处理的，只计这一情形，不计其他情形）</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（三）不予公开</w:t>
            </w: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1.属于国家秘密</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2.其他法律行政法规禁止公开</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3.危及“三安全一稳定”</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4.保护第三方合法权益</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5.属于三类内部事务信息</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855"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08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6.属于四类过程性信息</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7.属于行政执法案卷</w:t>
            </w:r>
          </w:p>
        </w:tc>
        <w:tc>
          <w:tcPr>
            <w:tcW w:w="81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8.属于行政查询事项</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（四）无法提供</w:t>
            </w: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1.本机关不掌握相关政府信息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2.没有现成信息需要另行制作</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3.补正后申请内容仍不明确</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（五）不予处理</w:t>
            </w: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1.信访举报投诉类申请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2.重复申请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3.要求提供公开出版物</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4.无正当理由大量反复申请</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08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5.要求行政机关确认或重新出具已获取信息</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294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left"/>
            </w:pPr>
            <w:r>
              <w:rPr>
                <w:rFonts w:hint="eastAsia" w:ascii="楷体" w:hAnsi="楷体" w:eastAsia="楷体" w:cs="楷体"/>
                <w:kern w:val="0"/>
                <w:sz w:val="20"/>
                <w:szCs w:val="20"/>
              </w:rPr>
              <w:t>（六）其他处理</w:t>
            </w:r>
          </w:p>
        </w:tc>
        <w:tc>
          <w:tcPr>
            <w:tcW w:w="81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spacing w:line="600" w:lineRule="exact"/>
              <w:jc w:val="left"/>
              <w:rPr>
                <w:rFonts w:ascii="宋体"/>
                <w:sz w:val="24"/>
                <w:szCs w:val="24"/>
              </w:rPr>
            </w:pPr>
          </w:p>
        </w:tc>
        <w:tc>
          <w:tcPr>
            <w:tcW w:w="2944"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楷体" w:hAnsi="楷体" w:eastAsia="楷体" w:cs="楷体"/>
                <w:kern w:val="0"/>
                <w:sz w:val="20"/>
                <w:szCs w:val="20"/>
              </w:rPr>
              <w:t>（七）总计</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2"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pPr>
              <w:widowControl/>
              <w:spacing w:line="600" w:lineRule="exact"/>
              <w:jc w:val="left"/>
            </w:pPr>
            <w:r>
              <w:rPr>
                <w:rFonts w:hint="eastAsia" w:ascii="宋体" w:hAnsi="宋体" w:cs="宋体"/>
                <w:kern w:val="0"/>
                <w:sz w:val="20"/>
                <w:szCs w:val="20"/>
              </w:rPr>
              <w:t>四、结转下年度继续办理</w:t>
            </w:r>
          </w:p>
        </w:tc>
        <w:tc>
          <w:tcPr>
            <w:tcW w:w="81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5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8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97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r>
    </w:tbl>
    <w:p>
      <w:pPr>
        <w:pStyle w:val="5"/>
        <w:shd w:val="clear" w:color="auto" w:fill="FFFFFF"/>
        <w:spacing w:beforeAutospacing="0" w:afterAutospacing="0" w:line="600" w:lineRule="exact"/>
        <w:ind w:firstLine="420"/>
        <w:jc w:val="both"/>
        <w:rPr>
          <w:rFonts w:ascii="黑体" w:hAnsi="方正黑体简体" w:eastAsia="黑体" w:cs="方正黑体简体"/>
          <w:bCs/>
          <w:sz w:val="32"/>
          <w:szCs w:val="32"/>
        </w:rPr>
      </w:pPr>
      <w:r>
        <w:rPr>
          <w:rFonts w:hint="eastAsia" w:ascii="黑体" w:eastAsia="黑体"/>
          <w:bCs/>
          <w:sz w:val="32"/>
          <w:szCs w:val="32"/>
          <w:shd w:val="clear" w:color="auto" w:fill="FFFFFF"/>
        </w:rPr>
        <w:t>四</w:t>
      </w:r>
      <w:r>
        <w:rPr>
          <w:rFonts w:hint="eastAsia" w:ascii="黑体" w:hAnsi="方正黑体简体" w:eastAsia="黑体" w:cs="方正黑体简体"/>
          <w:bCs/>
          <w:sz w:val="32"/>
          <w:szCs w:val="32"/>
          <w:shd w:val="clear" w:color="auto" w:fill="FFFFFF"/>
        </w:rPr>
        <w:t>、政府信息公开行政复议、行政诉讼情况</w:t>
      </w:r>
    </w:p>
    <w:p>
      <w:pPr>
        <w:pStyle w:val="5"/>
        <w:shd w:val="clear" w:color="auto" w:fill="FFFFFF"/>
        <w:spacing w:beforeAutospacing="0" w:afterAutospacing="0" w:line="600" w:lineRule="exact"/>
        <w:ind w:firstLine="420"/>
        <w:jc w:val="both"/>
        <w:rPr>
          <w:color w:val="333333"/>
        </w:rPr>
      </w:pP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spacing w:line="600" w:lineRule="exact"/>
              <w:rPr>
                <w:rFonts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ascii="宋体" w:hAnsi="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600" w:lineRule="exact"/>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line="600" w:lineRule="exact"/>
              <w:jc w:val="center"/>
              <w:rPr>
                <w:rFonts w:ascii="宋体"/>
                <w:sz w:val="24"/>
                <w:szCs w:val="24"/>
              </w:rPr>
            </w:pPr>
            <w:r>
              <w:rPr>
                <w:rFonts w:hint="eastAsia"/>
              </w:rPr>
              <w:t>0</w:t>
            </w:r>
          </w:p>
        </w:tc>
      </w:tr>
    </w:tbl>
    <w:p>
      <w:pPr>
        <w:widowControl/>
        <w:shd w:val="clear" w:color="auto" w:fill="FFFFFF"/>
        <w:spacing w:line="600" w:lineRule="exact"/>
        <w:jc w:val="center"/>
        <w:rPr>
          <w:rFonts w:ascii="宋体" w:hAnsi="宋体" w:cs="宋体"/>
          <w:color w:val="333333"/>
          <w:sz w:val="24"/>
          <w:szCs w:val="24"/>
        </w:rPr>
      </w:pPr>
    </w:p>
    <w:p>
      <w:pPr>
        <w:pStyle w:val="5"/>
        <w:shd w:val="clear" w:color="auto" w:fill="FFFFFF"/>
        <w:spacing w:beforeAutospacing="0" w:afterAutospacing="0" w:line="560" w:lineRule="exact"/>
        <w:ind w:firstLine="640" w:firstLineChars="200"/>
        <w:jc w:val="both"/>
        <w:rPr>
          <w:rFonts w:ascii="黑体" w:hAnsi="方正黑体简体" w:eastAsia="黑体" w:cs="方正黑体简体"/>
          <w:bCs/>
          <w:sz w:val="32"/>
          <w:szCs w:val="32"/>
        </w:rPr>
      </w:pPr>
      <w:r>
        <w:rPr>
          <w:rFonts w:hint="eastAsia" w:ascii="黑体" w:eastAsia="黑体"/>
          <w:bCs/>
          <w:sz w:val="32"/>
          <w:szCs w:val="32"/>
          <w:shd w:val="clear" w:color="auto" w:fill="FFFFFF"/>
        </w:rPr>
        <w:t>五</w:t>
      </w:r>
      <w:r>
        <w:rPr>
          <w:rFonts w:hint="eastAsia" w:ascii="黑体" w:hAnsi="方正黑体简体" w:eastAsia="黑体" w:cs="方正黑体简体"/>
          <w:bCs/>
          <w:sz w:val="32"/>
          <w:szCs w:val="32"/>
          <w:shd w:val="clear" w:color="auto" w:fill="FFFFFF"/>
        </w:rPr>
        <w:t>、存在的主要问题及改进情况</w:t>
      </w:r>
    </w:p>
    <w:p>
      <w:pPr>
        <w:pStyle w:val="5"/>
        <w:shd w:val="clear" w:color="auto" w:fill="FFFFFF"/>
        <w:spacing w:beforeAutospacing="0" w:afterAutospacing="0" w:line="560" w:lineRule="exact"/>
        <w:ind w:firstLine="640" w:firstLineChars="200"/>
        <w:jc w:val="both"/>
        <w:rPr>
          <w:rFonts w:ascii="黑体" w:hAnsi="方正黑体简体" w:eastAsia="黑体" w:cs="方正黑体简体"/>
          <w:bCs/>
          <w:sz w:val="32"/>
          <w:szCs w:val="32"/>
        </w:rPr>
      </w:pPr>
      <w:r>
        <w:rPr>
          <w:rFonts w:hint="eastAsia" w:ascii="仿宋_GB2312" w:eastAsia="仿宋_GB2312"/>
          <w:sz w:val="32"/>
          <w:szCs w:val="32"/>
          <w:shd w:val="clear" w:color="auto" w:fill="FFFFFF"/>
        </w:rPr>
        <w:t>2019年，虽然我委政府信息公开工作在区委、区政府的正确领导下做了大量工作，取得了明显成效，但同时也存在公开形式有待进一步改进、内容有待进一步丰富的问题。对此，我委将把常态化的政府信息公开工作机制进一步完善健全,并在政府信息公开的内容和范围上下功夫，加大政府信息公开工作力度，不断提升政府信息公开工作水平。</w:t>
      </w:r>
    </w:p>
    <w:p>
      <w:pPr>
        <w:pStyle w:val="5"/>
        <w:shd w:val="clear" w:color="auto" w:fill="FFFFFF"/>
        <w:spacing w:beforeAutospacing="0" w:afterAutospacing="0" w:line="560" w:lineRule="exact"/>
        <w:ind w:firstLine="640" w:firstLineChars="200"/>
        <w:jc w:val="both"/>
        <w:rPr>
          <w:rFonts w:ascii="黑体" w:hAnsi="方正黑体简体" w:eastAsia="黑体" w:cs="方正黑体简体"/>
          <w:bCs/>
          <w:sz w:val="32"/>
          <w:szCs w:val="32"/>
        </w:rPr>
      </w:pPr>
      <w:r>
        <w:rPr>
          <w:rFonts w:hint="eastAsia" w:ascii="黑体" w:eastAsia="黑体"/>
          <w:bCs/>
          <w:sz w:val="32"/>
          <w:szCs w:val="32"/>
          <w:shd w:val="clear" w:color="auto" w:fill="FFFFFF"/>
        </w:rPr>
        <w:t>六、</w:t>
      </w:r>
      <w:r>
        <w:rPr>
          <w:rFonts w:hint="eastAsia" w:ascii="黑体" w:hAnsi="方正黑体简体" w:eastAsia="黑体" w:cs="方正黑体简体"/>
          <w:bCs/>
          <w:sz w:val="32"/>
          <w:szCs w:val="32"/>
          <w:shd w:val="clear" w:color="auto" w:fill="FFFFFF"/>
        </w:rPr>
        <w:t>其他需要报告的事项</w:t>
      </w:r>
    </w:p>
    <w:p>
      <w:pPr>
        <w:pStyle w:val="5"/>
        <w:shd w:val="clear" w:color="auto" w:fill="FFFFFF"/>
        <w:spacing w:beforeAutospacing="0" w:afterAutospacing="0" w:line="560" w:lineRule="exact"/>
        <w:ind w:firstLine="640" w:firstLineChars="200"/>
        <w:jc w:val="both"/>
        <w:rPr>
          <w:rFonts w:ascii="黑体" w:hAnsi="方正黑体简体" w:eastAsia="黑体" w:cs="方正黑体简体"/>
          <w:bCs/>
          <w:sz w:val="32"/>
          <w:szCs w:val="32"/>
        </w:rPr>
      </w:pPr>
      <w:r>
        <w:rPr>
          <w:rFonts w:hint="eastAsia" w:ascii="仿宋_GB2312" w:eastAsia="仿宋_GB2312"/>
          <w:bCs/>
          <w:sz w:val="32"/>
          <w:szCs w:val="32"/>
          <w:shd w:val="clear" w:color="auto" w:fill="FFFFFF"/>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30FC"/>
    <w:rsid w:val="00055974"/>
    <w:rsid w:val="001D238A"/>
    <w:rsid w:val="00293194"/>
    <w:rsid w:val="003066DF"/>
    <w:rsid w:val="00384884"/>
    <w:rsid w:val="003D3D10"/>
    <w:rsid w:val="004732B5"/>
    <w:rsid w:val="005B6C7D"/>
    <w:rsid w:val="00665F0C"/>
    <w:rsid w:val="006D30FC"/>
    <w:rsid w:val="00767FE6"/>
    <w:rsid w:val="007C0472"/>
    <w:rsid w:val="00813055"/>
    <w:rsid w:val="008E6CD4"/>
    <w:rsid w:val="008E7011"/>
    <w:rsid w:val="009D6B06"/>
    <w:rsid w:val="00AC0253"/>
    <w:rsid w:val="00B51CE5"/>
    <w:rsid w:val="00C8313C"/>
    <w:rsid w:val="00D76842"/>
    <w:rsid w:val="00E43ABB"/>
    <w:rsid w:val="00F01F31"/>
    <w:rsid w:val="00FD133D"/>
    <w:rsid w:val="307B0568"/>
    <w:rsid w:val="32F4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uiPriority w:val="0"/>
    <w:rPr>
      <w:rFonts w:ascii="Calibri" w:hAnsi="Calibri" w:cs="黑体"/>
      <w:kern w:val="2"/>
      <w:sz w:val="18"/>
      <w:szCs w:val="18"/>
    </w:rPr>
  </w:style>
  <w:style w:type="character" w:customStyle="1" w:styleId="9">
    <w:name w:val="页脚 Char"/>
    <w:basedOn w:val="7"/>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发改委</Company>
  <Pages>6</Pages>
  <Words>379</Words>
  <Characters>2166</Characters>
  <Lines>18</Lines>
  <Paragraphs>5</Paragraphs>
  <TotalTime>63</TotalTime>
  <ScaleCrop>false</ScaleCrop>
  <LinksUpToDate>false</LinksUpToDate>
  <CharactersWithSpaces>2540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Annienotok</cp:lastModifiedBy>
  <dcterms:modified xsi:type="dcterms:W3CDTF">2025-03-17T09:05:46Z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A9DCB20A0D0049E6916195296BB14FAA</vt:lpwstr>
  </property>
</Properties>
</file>